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eastAsia="仿宋_GB2312"/>
          <w:sz w:val="32"/>
          <w:szCs w:val="32"/>
          <w:u w:val="none"/>
        </w:rPr>
      </w:pPr>
      <w:bookmarkStart w:id="0" w:name="OLE_LINK1"/>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eastAsia="仿宋_GB2312"/>
          <w:sz w:val="32"/>
          <w:szCs w:val="32"/>
          <w:u w:val="none"/>
        </w:rPr>
      </w:pPr>
    </w:p>
    <w:p>
      <w:pPr>
        <w:adjustRightInd w:val="0"/>
        <w:snapToGrid w:val="0"/>
        <w:spacing w:line="520" w:lineRule="exact"/>
        <w:jc w:val="center"/>
        <w:rPr>
          <w:rFonts w:eastAsia="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eastAsia="仿宋_GB2312"/>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eastAsia="仿宋_GB2312"/>
          <w:sz w:val="32"/>
          <w:szCs w:val="32"/>
          <w:u w:val="none"/>
        </w:rPr>
      </w:pPr>
    </w:p>
    <w:p>
      <w:pPr>
        <w:adjustRightInd w:val="0"/>
        <w:snapToGrid w:val="0"/>
        <w:spacing w:line="480" w:lineRule="exact"/>
        <w:jc w:val="center"/>
        <w:rPr>
          <w:rFonts w:hint="eastAsia" w:ascii="仿宋_GB2312" w:eastAsia="仿宋_GB2312"/>
          <w:sz w:val="32"/>
          <w:szCs w:val="32"/>
        </w:rPr>
      </w:pPr>
      <w:r>
        <w:rPr>
          <w:rFonts w:hint="eastAsia" w:ascii="仿宋_GB2312" w:hAnsi="仿宋_GB2312" w:eastAsia="仿宋_GB2312" w:cs="仿宋_GB2312"/>
          <w:sz w:val="32"/>
          <w:szCs w:val="32"/>
          <w:u w:val="none"/>
        </w:rPr>
        <w:t>榕建</w:t>
      </w:r>
      <w:r>
        <w:rPr>
          <w:rFonts w:hint="eastAsia" w:ascii="仿宋_GB2312" w:hAnsi="仿宋_GB2312" w:eastAsia="仿宋_GB2312" w:cs="仿宋_GB2312"/>
          <w:sz w:val="32"/>
          <w:szCs w:val="32"/>
          <w:u w:val="none"/>
          <w:lang w:eastAsia="zh-CN"/>
        </w:rPr>
        <w:t>筑</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号</w:t>
      </w:r>
      <w:r>
        <w:rPr>
          <w:rFonts w:hint="eastAsia" w:ascii="仿宋_GB2312" w:eastAsia="仿宋_GB2312"/>
          <w:sz w:val="32"/>
          <w:szCs w:val="32"/>
        </w:rPr>
        <w:t xml:space="preserve">                     </w:t>
      </w:r>
    </w:p>
    <w:p>
      <w:pPr>
        <w:adjustRightInd w:val="0"/>
        <w:snapToGrid w:val="0"/>
        <w:spacing w:line="480" w:lineRule="exact"/>
        <w:jc w:val="center"/>
        <w:rPr>
          <w:rFonts w:hint="eastAsia" w:eastAsia="仿宋_GB2312"/>
          <w:sz w:val="32"/>
          <w:szCs w:val="32"/>
        </w:rPr>
      </w:pPr>
    </w:p>
    <w:p>
      <w:pPr>
        <w:adjustRightInd w:val="0"/>
        <w:snapToGrid w:val="0"/>
        <w:spacing w:line="480" w:lineRule="exact"/>
        <w:jc w:val="center"/>
        <w:rPr>
          <w:rFonts w:hint="eastAsia" w:eastAsia="仿宋_GB2312"/>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华文中宋" w:hAnsi="华文中宋" w:eastAsia="华文中宋" w:cs="华文中宋"/>
          <w:sz w:val="38"/>
          <w:szCs w:val="38"/>
          <w:lang w:eastAsia="zh-CN"/>
        </w:rPr>
      </w:pPr>
      <w:r>
        <w:rPr>
          <w:rFonts w:hint="eastAsia" w:ascii="华文中宋" w:hAnsi="华文中宋" w:eastAsia="华文中宋" w:cs="华文中宋"/>
          <w:sz w:val="38"/>
          <w:szCs w:val="38"/>
          <w:lang w:eastAsia="zh-CN"/>
        </w:rPr>
        <w:t>福州市城乡建设局</w:t>
      </w:r>
      <w:r>
        <w:rPr>
          <w:rFonts w:hint="eastAsia" w:ascii="华文中宋" w:hAnsi="华文中宋" w:eastAsia="华文中宋" w:cs="华文中宋"/>
          <w:sz w:val="38"/>
          <w:szCs w:val="38"/>
        </w:rPr>
        <w:t>关于进一步规范福州市房屋建筑和市政基础设施</w:t>
      </w:r>
      <w:r>
        <w:rPr>
          <w:rFonts w:hint="eastAsia" w:ascii="华文中宋" w:hAnsi="华文中宋" w:eastAsia="华文中宋" w:cs="华文中宋"/>
          <w:sz w:val="38"/>
          <w:szCs w:val="38"/>
          <w:lang w:eastAsia="zh-CN"/>
        </w:rPr>
        <w:t>项目</w:t>
      </w:r>
      <w:r>
        <w:rPr>
          <w:rFonts w:hint="eastAsia" w:ascii="华文中宋" w:hAnsi="华文中宋" w:eastAsia="华文中宋" w:cs="华文中宋"/>
          <w:sz w:val="38"/>
          <w:szCs w:val="38"/>
        </w:rPr>
        <w:t>工程</w:t>
      </w:r>
      <w:r>
        <w:rPr>
          <w:rFonts w:hint="eastAsia" w:ascii="华文中宋" w:hAnsi="华文中宋" w:eastAsia="华文中宋" w:cs="华文中宋"/>
          <w:sz w:val="38"/>
          <w:szCs w:val="38"/>
          <w:lang w:eastAsia="zh-CN"/>
        </w:rPr>
        <w:t>总承包</w:t>
      </w:r>
      <w:r>
        <w:rPr>
          <w:rFonts w:hint="eastAsia" w:ascii="华文中宋" w:hAnsi="华文中宋" w:eastAsia="华文中宋" w:cs="华文中宋"/>
          <w:sz w:val="38"/>
          <w:szCs w:val="38"/>
        </w:rPr>
        <w:t>招标</w:t>
      </w:r>
      <w:r>
        <w:rPr>
          <w:rFonts w:hint="eastAsia" w:ascii="华文中宋" w:hAnsi="华文中宋" w:eastAsia="华文中宋" w:cs="华文中宋"/>
          <w:sz w:val="38"/>
          <w:szCs w:val="38"/>
          <w:lang w:eastAsia="zh-CN"/>
        </w:rPr>
        <w:t>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华文中宋" w:hAnsi="华文中宋" w:eastAsia="华文中宋" w:cs="华文中宋"/>
          <w:sz w:val="38"/>
          <w:szCs w:val="38"/>
        </w:rPr>
      </w:pPr>
      <w:r>
        <w:rPr>
          <w:rFonts w:hint="eastAsia" w:ascii="华文中宋" w:hAnsi="华文中宋" w:eastAsia="华文中宋" w:cs="华文中宋"/>
          <w:sz w:val="38"/>
          <w:szCs w:val="38"/>
          <w:lang w:eastAsia="zh-CN"/>
        </w:rPr>
        <w:t>编制</w:t>
      </w:r>
      <w:r>
        <w:rPr>
          <w:rFonts w:hint="eastAsia" w:ascii="华文中宋" w:hAnsi="华文中宋" w:eastAsia="华文中宋" w:cs="华文中宋"/>
          <w:sz w:val="38"/>
          <w:szCs w:val="38"/>
        </w:rPr>
        <w:t>有关事项的通知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为进一步规范我市房屋建筑和市政基础设施工程</w:t>
      </w:r>
      <w:r>
        <w:rPr>
          <w:rFonts w:hint="eastAsia" w:ascii="仿宋_GB2312" w:hAnsi="仿宋_GB2312" w:eastAsia="仿宋_GB2312" w:cs="仿宋_GB2312"/>
          <w:sz w:val="32"/>
          <w:szCs w:val="32"/>
          <w:lang w:eastAsia="zh-CN"/>
        </w:rPr>
        <w:t>总承包项目</w:t>
      </w:r>
      <w:r>
        <w:rPr>
          <w:rFonts w:hint="eastAsia" w:ascii="仿宋_GB2312" w:hAnsi="仿宋_GB2312" w:eastAsia="仿宋_GB2312" w:cs="仿宋_GB2312"/>
          <w:sz w:val="32"/>
          <w:szCs w:val="32"/>
        </w:rPr>
        <w:t>招标投标活动，维护招标投标活动的公开、公平、公正，</w:t>
      </w:r>
      <w:r>
        <w:rPr>
          <w:rFonts w:hint="eastAsia" w:ascii="仿宋_GB2312" w:hAnsi="仿宋_GB2312" w:eastAsia="仿宋_GB2312" w:cs="仿宋_GB2312"/>
          <w:sz w:val="32"/>
          <w:szCs w:val="32"/>
          <w:lang w:eastAsia="zh-CN"/>
        </w:rPr>
        <w:t>推动我市工程总承包项目招标充分竞争，切实培育</w:t>
      </w:r>
      <w:r>
        <w:rPr>
          <w:rFonts w:hint="eastAsia" w:ascii="仿宋_GB2312" w:hAnsi="仿宋_GB2312" w:eastAsia="仿宋_GB2312" w:cs="仿宋_GB2312"/>
          <w:sz w:val="32"/>
          <w:szCs w:val="32"/>
          <w:lang w:val="en-US" w:eastAsia="zh-CN"/>
        </w:rPr>
        <w:t>壮大我市建筑业企业，</w:t>
      </w:r>
      <w:r>
        <w:rPr>
          <w:rFonts w:hint="eastAsia" w:ascii="仿宋_GB2312" w:hAnsi="仿宋_GB2312" w:eastAsia="仿宋_GB2312" w:cs="仿宋_GB2312"/>
          <w:sz w:val="32"/>
          <w:szCs w:val="32"/>
          <w:lang w:eastAsia="zh-CN"/>
        </w:rPr>
        <w:t>根据《中华人民共和国招标投标法》《中华人民共和国招标投标法实施条例》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关于房屋建筑和市政基础设施项目工程总承包招标投标活动有关事项的通知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（闽建办筑函</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19</w:t>
      </w:r>
      <w:bookmarkStart w:id="5" w:name="_GoBack"/>
      <w:bookmarkEnd w:id="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eastAsia="zh-CN"/>
        </w:rPr>
        <w:t>法律法规及规范性文件</w:t>
      </w:r>
      <w:r>
        <w:rPr>
          <w:rFonts w:hint="eastAsia" w:ascii="仿宋_GB2312" w:hAnsi="仿宋_GB2312" w:eastAsia="仿宋_GB2312" w:cs="仿宋_GB2312"/>
          <w:sz w:val="32"/>
          <w:szCs w:val="32"/>
        </w:rPr>
        <w:t>，结合我市实际，现就</w:t>
      </w:r>
      <w:r>
        <w:rPr>
          <w:rFonts w:hint="eastAsia" w:ascii="仿宋_GB2312" w:hAnsi="仿宋_GB2312" w:eastAsia="仿宋_GB2312" w:cs="仿宋_GB2312"/>
          <w:sz w:val="32"/>
          <w:szCs w:val="32"/>
          <w:lang w:eastAsia="zh-CN"/>
        </w:rPr>
        <w:t>我市工程总承包项目招标文件编制的有关</w:t>
      </w:r>
      <w:r>
        <w:rPr>
          <w:rFonts w:hint="eastAsia" w:ascii="仿宋_GB2312" w:hAnsi="仿宋_GB2312" w:eastAsia="仿宋_GB2312" w:cs="仿宋_GB2312"/>
          <w:sz w:val="32"/>
          <w:szCs w:val="32"/>
        </w:rPr>
        <w:t>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居住建筑工程总承包项目招标文件在设置投标人类似工程业绩时，应当设置“民用建筑”项目类似业绩，不得排斥公共建筑项目类似业绩。</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文件在设置项目管理人员配置情况加分项时，应采用“分档”设置，并明确设置不同档次项目管理人员的得分，各档次设置应当均衡、合理。招标文件中应同时明确，中标人变更项目管理人员的，变更后的人员职称和执业资格等级应不低于被更换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三、招标文件在设置预制构件供应商加分项时，应当明确省级备案基地得分不宜低于</w:t>
      </w:r>
      <w:r>
        <w:rPr>
          <w:rFonts w:hint="eastAsia" w:ascii="仿宋_GB2312" w:hAnsi="仿宋_GB2312" w:eastAsia="仿宋_GB2312" w:cs="仿宋_GB2312"/>
          <w:sz w:val="32"/>
          <w:szCs w:val="32"/>
          <w:lang w:val="en-US" w:eastAsia="zh-CN"/>
        </w:rPr>
        <w:t>0.5分，且不得将预制构件供应商年生产能力及预制构件供应商与投标人的股权关系设置为加分项。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招标文件在设置BIM技术人员配置加分项时，应当遵循以下原则：BIM一级人员达到5人或BIM二级人员达到3人或BIM三级人员达到1人得分不宜低于0.5分，在此基础上每增加1个BIM二级人员可再得0.25分，每增加1个BIM三级人员可再得0.5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r>
        <w:rPr>
          <w:rFonts w:hint="eastAsia" w:ascii="仿宋_GB2312" w:hAnsi="仿宋_GB2312" w:eastAsia="仿宋_GB2312" w:cs="仿宋_GB2312"/>
          <w:sz w:val="32"/>
          <w:szCs w:val="32"/>
          <w:lang w:val="en-US" w:eastAsia="zh-CN"/>
        </w:rPr>
        <w:t>，有效期两年。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eastAsia" w:eastAsia="仿宋_GB2312"/>
          <w:sz w:val="32"/>
          <w:szCs w:val="32"/>
        </w:rPr>
      </w:pPr>
      <w:bookmarkStart w:id="1" w:name="OLE_LINK18"/>
      <w:bookmarkStart w:id="2" w:name="OLE_LINK21"/>
      <w:bookmarkStart w:id="3" w:name="OLE_LINK16"/>
      <w:r>
        <w:rPr>
          <w:rFonts w:hint="eastAsia" w:eastAsia="仿宋_GB2312"/>
          <w:sz w:val="32"/>
          <w:szCs w:val="32"/>
        </w:rPr>
        <w:t>福州市城乡建设</w:t>
      </w:r>
      <w:r>
        <w:rPr>
          <w:rFonts w:hint="eastAsia" w:eastAsia="仿宋_GB2312"/>
          <w:sz w:val="32"/>
          <w:szCs w:val="32"/>
          <w:lang w:eastAsia="zh-CN"/>
        </w:rPr>
        <w:t>局</w:t>
      </w:r>
      <w:r>
        <w:rPr>
          <w:rFonts w:hint="eastAsia" w:eastAsia="仿宋_GB2312"/>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2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 xml:space="preserve">日       </w:t>
      </w:r>
    </w:p>
    <w:bookmarkEnd w:id="1"/>
    <w:p>
      <w:pPr>
        <w:adjustRightInd w:val="0"/>
        <w:snapToGrid w:val="0"/>
        <w:spacing w:line="480" w:lineRule="exact"/>
        <w:rPr>
          <w:rFonts w:hint="eastAsia" w:eastAsia="仿宋_GB2312"/>
          <w:sz w:val="32"/>
          <w:szCs w:val="32"/>
        </w:rPr>
      </w:pPr>
      <w:r>
        <w:rPr>
          <w:rFonts w:hint="eastAsia" w:eastAsia="仿宋_GB2312"/>
          <w:sz w:val="32"/>
          <w:szCs w:val="32"/>
        </w:rPr>
        <w:t xml:space="preserve"> </w:t>
      </w:r>
      <w:bookmarkStart w:id="4" w:name="OLE_LINK15"/>
    </w:p>
    <w:p>
      <w:pPr>
        <w:pStyle w:val="2"/>
        <w:rPr>
          <w:rFonts w:hint="eastAsia" w:eastAsia="仿宋_GB2312"/>
          <w:sz w:val="32"/>
          <w:szCs w:val="32"/>
        </w:rPr>
      </w:pPr>
    </w:p>
    <w:p>
      <w:pPr>
        <w:pStyle w:val="3"/>
        <w:rPr>
          <w:rFonts w:hint="eastAsia" w:eastAsia="仿宋_GB2312"/>
          <w:sz w:val="32"/>
          <w:szCs w:val="32"/>
        </w:rPr>
      </w:pPr>
    </w:p>
    <w:p>
      <w:pPr>
        <w:rPr>
          <w:rFonts w:hint="eastAsia" w:eastAsia="仿宋_GB2312"/>
          <w:sz w:val="32"/>
          <w:szCs w:val="32"/>
        </w:rPr>
      </w:pPr>
    </w:p>
    <w:p>
      <w:pPr>
        <w:pStyle w:val="3"/>
        <w:ind w:left="0" w:leftChars="0" w:firstLine="0" w:firstLineChars="0"/>
        <w:rPr>
          <w:rFonts w:hint="eastAsia"/>
        </w:rPr>
      </w:pPr>
    </w:p>
    <w:p>
      <w:pPr>
        <w:adjustRightInd w:val="0"/>
        <w:snapToGrid w:val="0"/>
        <w:spacing w:line="480" w:lineRule="exact"/>
        <w:ind w:firstLine="210" w:firstLineChars="100"/>
        <w:rPr>
          <w:rFonts w:hint="eastAsia" w:ascii="仿宋_GB2312" w:hAnsi="仿宋_GB2312" w:eastAsia="仿宋_GB2312" w:cs="仿宋_GB2312"/>
          <w:sz w:val="32"/>
          <w:szCs w:val="32"/>
        </w:rPr>
      </w:pPr>
      <w:r>
        <w:rPr>
          <w:sz w:val="21"/>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323850</wp:posOffset>
                </wp:positionV>
                <wp:extent cx="5590540" cy="0"/>
                <wp:effectExtent l="0" t="0" r="0" b="0"/>
                <wp:wrapNone/>
                <wp:docPr id="4" name="直线 110"/>
                <wp:cNvGraphicFramePr/>
                <a:graphic xmlns:a="http://schemas.openxmlformats.org/drawingml/2006/main">
                  <a:graphicData uri="http://schemas.microsoft.com/office/word/2010/wordprocessingShape">
                    <wps:wsp>
                      <wps:cNvSpPr/>
                      <wps:spPr>
                        <a:xfrm>
                          <a:off x="0" y="0"/>
                          <a:ext cx="5590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0.85pt;margin-top:25.5pt;height:0pt;width:440.2pt;z-index:251668480;mso-width-relative:page;mso-height-relative:page;" coordsize="21600,21600" o:gfxdata="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dG/ENUAAAAIAQAADwAAAAAAAAABACAAAAAiAAAAZHJz&#10;L2Rvd25yZXYueG1sUEsBAhQAFAAAAAgAh07iQKkyMODOAQAAjwMAAA4AAAAAAAAAAQAgAAAAJAEA&#10;AGRycy9lMm9Eb2MueG1sUEsFBgAAAAAGAAYAWQEAAGQFAAAAAA==&#10;">
                <v:path arrowok="t"/>
                <v:fill focussize="0,0"/>
                <v:stroke/>
                <v:imagedata o:title=""/>
                <o:lock v:ext="edit"/>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14605</wp:posOffset>
                </wp:positionV>
                <wp:extent cx="5590540" cy="0"/>
                <wp:effectExtent l="0" t="0" r="0" b="0"/>
                <wp:wrapNone/>
                <wp:docPr id="2" name="直线 112"/>
                <wp:cNvGraphicFramePr/>
                <a:graphic xmlns:a="http://schemas.openxmlformats.org/drawingml/2006/main">
                  <a:graphicData uri="http://schemas.microsoft.com/office/word/2010/wordprocessingShape">
                    <wps:wsp>
                      <wps:cNvSpPr/>
                      <wps:spPr>
                        <a:xfrm>
                          <a:off x="0" y="0"/>
                          <a:ext cx="5590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1.75pt;margin-top:1.15pt;height:0pt;width:440.2pt;z-index:251669504;mso-width-relative:page;mso-height-relative:page;" coordsize="21600,21600" o:gfxdata="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NWwftUAAAAGAQAADwAAAAAAAAABACAAAAAiAAAAZHJz&#10;L2Rvd25yZXYueG1sUEsBAhQAFAAAAAgAh07iQOeYXyvOAQAAjwMAAA4AAAAAAAAAAQAgAAAAJAEA&#10;AGRycy9lMm9Eb2MueG1sUEsFBgAAAAAGAAYAWQEAAGQFAAAAAA==&#10;">
                <v:path arrowok="t"/>
                <v:fill focussize="0,0"/>
                <v:stroke/>
                <v:imagedata o:title=""/>
                <o:lock v:ext="edit"/>
              </v:line>
            </w:pict>
          </mc:Fallback>
        </mc:AlternateContent>
      </w:r>
      <w:r>
        <w:rPr>
          <w:rFonts w:hint="eastAsia"/>
          <w:sz w:val="21"/>
        </w:rPr>
        <w:t xml:space="preserve"> </w:t>
      </w:r>
      <w:r>
        <w:rPr>
          <w:sz w:val="28"/>
          <w:szCs w:val="28"/>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323850</wp:posOffset>
                </wp:positionV>
                <wp:extent cx="5590540" cy="0"/>
                <wp:effectExtent l="0" t="0" r="0" b="0"/>
                <wp:wrapNone/>
                <wp:docPr id="5" name="直线 122"/>
                <wp:cNvGraphicFramePr/>
                <a:graphic xmlns:a="http://schemas.openxmlformats.org/drawingml/2006/main">
                  <a:graphicData uri="http://schemas.microsoft.com/office/word/2010/wordprocessingShape">
                    <wps:wsp>
                      <wps:cNvSpPr/>
                      <wps:spPr>
                        <a:xfrm>
                          <a:off x="0" y="0"/>
                          <a:ext cx="5590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0.85pt;margin-top:25.5pt;height:0pt;width:440.2pt;z-index:251672576;mso-width-relative:page;mso-height-relative:page;" coordsize="21600,21600" o:gfxdata="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dG/ENUAAAAIAQAADwAAAAAAAAABACAAAAAiAAAAZHJz&#10;L2Rvd25yZXYueG1sUEsBAhQAFAAAAAgAh07iQJKXeUfOAQAAjwMAAA4AAAAAAAAAAQAgAAAAJAEA&#10;AGRycy9lMm9Eb2MueG1sUEsFBgAAAAAGAAYAWQEAAGQFAAAAAA==&#10;">
                <v:path arrowok="t"/>
                <v:fill focussize="0,0"/>
                <v:stroke/>
                <v:imagedata o:title=""/>
                <o:lock v:ext="edit"/>
              </v:line>
            </w:pict>
          </mc:Fallback>
        </mc:AlternateContent>
      </w:r>
      <w:r>
        <w:rPr>
          <w:sz w:val="28"/>
          <w:szCs w:val="28"/>
        </w:rPr>
        <mc:AlternateContent>
          <mc:Choice Requires="wps">
            <w:drawing>
              <wp:anchor distT="0" distB="0" distL="114300" distR="114300" simplePos="0" relativeHeight="251673600" behindDoc="0" locked="0" layoutInCell="1" allowOverlap="1">
                <wp:simplePos x="0" y="0"/>
                <wp:positionH relativeFrom="column">
                  <wp:posOffset>-22225</wp:posOffset>
                </wp:positionH>
                <wp:positionV relativeFrom="paragraph">
                  <wp:posOffset>14605</wp:posOffset>
                </wp:positionV>
                <wp:extent cx="5590540" cy="0"/>
                <wp:effectExtent l="0" t="0" r="0" b="0"/>
                <wp:wrapNone/>
                <wp:docPr id="3" name="直线 123"/>
                <wp:cNvGraphicFramePr/>
                <a:graphic xmlns:a="http://schemas.openxmlformats.org/drawingml/2006/main">
                  <a:graphicData uri="http://schemas.microsoft.com/office/word/2010/wordprocessingShape">
                    <wps:wsp>
                      <wps:cNvSpPr/>
                      <wps:spPr>
                        <a:xfrm>
                          <a:off x="0" y="0"/>
                          <a:ext cx="5590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1.75pt;margin-top:1.15pt;height:0pt;width:440.2pt;z-index:251673600;mso-width-relative:page;mso-height-relative:page;" coordsize="21600,21600" o:gfxdata="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DVsH7VAAAABgEAAA8AAAAAAAAAAQAgAAAAIgAAAGRy&#10;cy9kb3ducmV2LnhtbFBLAQIUABQAAAAIAIdO4kBe/l2rzwEAAI8DAAAOAAAAAAAAAAEAIAAAACQB&#10;AABkcnMvZTJvRG9jLnhtbFBLBQYAAAAABgAGAFkBAABlBQAAAAA=&#10;">
                <v:path arrowok="t"/>
                <v:fill focussize="0,0"/>
                <v:stroke/>
                <v:imagedata o:title=""/>
                <o:lock v:ext="edit"/>
              </v:line>
            </w:pict>
          </mc:Fallback>
        </mc:AlternateContent>
      </w:r>
      <w:r>
        <w:rPr>
          <w:rFonts w:hint="eastAsia" w:eastAsia="仿宋_GB2312"/>
          <w:sz w:val="28"/>
          <w:szCs w:val="28"/>
        </w:rPr>
        <w:t>福州市城乡建设</w:t>
      </w:r>
      <w:r>
        <w:rPr>
          <w:rFonts w:hint="eastAsia" w:eastAsia="仿宋_GB2312"/>
          <w:sz w:val="28"/>
          <w:szCs w:val="28"/>
          <w:lang w:eastAsia="zh-CN"/>
        </w:rPr>
        <w:t>局</w:t>
      </w:r>
      <w:r>
        <w:rPr>
          <w:rFonts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ascii="仿宋_GB2312" w:eastAsia="仿宋_GB2312"/>
          <w:color w:val="000000"/>
          <w:sz w:val="28"/>
          <w:szCs w:val="28"/>
        </w:rPr>
        <w:t xml:space="preserve"> </w:t>
      </w:r>
      <w:r>
        <w:rPr>
          <w:rFonts w:ascii="仿宋_GB2312" w:eastAsia="仿宋_GB2312"/>
          <w:color w:val="000000"/>
          <w:sz w:val="28"/>
          <w:szCs w:val="28"/>
        </w:rPr>
        <w:t>20</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日印发</w:t>
      </w:r>
      <w:r>
        <w:rPr>
          <w:rFonts w:hint="eastAsia"/>
          <w:sz w:val="21"/>
        </w:rPr>
        <w:t xml:space="preserve"> </w:t>
      </w:r>
      <w:bookmarkEnd w:id="2"/>
      <w:bookmarkEnd w:id="3"/>
      <w:bookmarkEnd w:id="4"/>
    </w:p>
    <w:sectPr>
      <w:headerReference r:id="rId3" w:type="default"/>
      <w:footerReference r:id="rId4"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81D91"/>
    <w:multiLevelType w:val="singleLevel"/>
    <w:tmpl w:val="AE381D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3508"/>
    <w:rsid w:val="03CE177A"/>
    <w:rsid w:val="06DC3F16"/>
    <w:rsid w:val="071800F2"/>
    <w:rsid w:val="0B2734C7"/>
    <w:rsid w:val="0B80149D"/>
    <w:rsid w:val="0BD95FF1"/>
    <w:rsid w:val="0C210153"/>
    <w:rsid w:val="125A6415"/>
    <w:rsid w:val="1285502E"/>
    <w:rsid w:val="16F51CA7"/>
    <w:rsid w:val="1DF632AC"/>
    <w:rsid w:val="20437C74"/>
    <w:rsid w:val="20574090"/>
    <w:rsid w:val="23A54D0B"/>
    <w:rsid w:val="25CE740B"/>
    <w:rsid w:val="288E4E7F"/>
    <w:rsid w:val="28C0074C"/>
    <w:rsid w:val="28C8230A"/>
    <w:rsid w:val="2A5173ED"/>
    <w:rsid w:val="30210B12"/>
    <w:rsid w:val="328F7201"/>
    <w:rsid w:val="38D92A36"/>
    <w:rsid w:val="39514BF7"/>
    <w:rsid w:val="3999242F"/>
    <w:rsid w:val="39E246D2"/>
    <w:rsid w:val="3C9D4493"/>
    <w:rsid w:val="3CBC44F6"/>
    <w:rsid w:val="3F763508"/>
    <w:rsid w:val="41D00AA5"/>
    <w:rsid w:val="42A22CC9"/>
    <w:rsid w:val="476C0B12"/>
    <w:rsid w:val="495A41D8"/>
    <w:rsid w:val="4BA71007"/>
    <w:rsid w:val="4F083A91"/>
    <w:rsid w:val="50452DD2"/>
    <w:rsid w:val="53FE1A44"/>
    <w:rsid w:val="555B4FD5"/>
    <w:rsid w:val="5A685172"/>
    <w:rsid w:val="5C280055"/>
    <w:rsid w:val="5E7766A9"/>
    <w:rsid w:val="651C429D"/>
    <w:rsid w:val="690B4CB3"/>
    <w:rsid w:val="6C5E6A9E"/>
    <w:rsid w:val="6E7A2531"/>
    <w:rsid w:val="71855A16"/>
    <w:rsid w:val="74D4696D"/>
    <w:rsid w:val="760C20CA"/>
    <w:rsid w:val="78DC6197"/>
    <w:rsid w:val="7A7E38AC"/>
    <w:rsid w:val="7ED25D4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Indent"/>
    <w:basedOn w:val="1"/>
    <w:next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2020-12-22T07:24:00Z</dcterms:created>
  <dc:creator>admin</dc:creator>
  <cp:lastModifiedBy>lenovo</cp:lastModifiedBy>
  <cp:lastPrinted>2021-04-27T03:47:00Z</cp:lastPrinted>
  <dcterms:modified xsi:type="dcterms:W3CDTF">2021-07-09T02:20:28Z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F08A2CF3D4C44F8287F66157B35C677C</vt:lpwstr>
  </property>
</Properties>
</file>